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06581C"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1F1CA1A7"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EC4F36">
              <w:rPr>
                <w:rFonts w:asciiTheme="majorBidi" w:hAnsiTheme="majorBidi" w:cstheme="majorBidi"/>
                <w:sz w:val="28"/>
                <w:szCs w:val="24"/>
              </w:rPr>
              <w:t xml:space="preserve">Transportation and Logistics </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lang w:val="en-MY" w:eastAsia="en-MY"/>
              </w:rPr>
              <w:drawing>
                <wp:inline distT="0" distB="0" distL="0" distR="0" wp14:anchorId="6ED3DF64" wp14:editId="24BFB0D5">
                  <wp:extent cx="882000" cy="1247524"/>
                  <wp:effectExtent l="0" t="0" r="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
                          <pic:cNvPicPr/>
                        </pic:nvPicPr>
                        <pic:blipFill>
                          <a:blip r:embed="rId9">
                            <a:extLst>
                              <a:ext uri="{28A0092B-C50C-407E-A947-70E740481C1C}">
                                <a14:useLocalDpi xmlns:a14="http://schemas.microsoft.com/office/drawing/2010/main" val="0"/>
                              </a:ext>
                            </a:extLst>
                          </a:blip>
                          <a:stretch>
                            <a:fillRect/>
                          </a:stretch>
                        </pic:blipFill>
                        <pic:spPr>
                          <a:xfrm>
                            <a:off x="0" y="0"/>
                            <a:ext cx="882000" cy="1247524"/>
                          </a:xfrm>
                          <a:prstGeom prst="rect">
                            <a:avLst/>
                          </a:prstGeom>
                        </pic:spPr>
                      </pic:pic>
                    </a:graphicData>
                  </a:graphic>
                </wp:inline>
              </w:drawing>
            </w:r>
          </w:p>
        </w:tc>
      </w:tr>
      <w:tr w:rsidR="0006581C"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4582F14E" w14:textId="5431B661" w:rsidR="00D72741" w:rsidRPr="00320FC1" w:rsidRDefault="00D72741" w:rsidP="007F6D7A">
            <w:pPr>
              <w:spacing w:before="120"/>
              <w:jc w:val="center"/>
              <w:rPr>
                <w:color w:val="0070C0"/>
                <w:sz w:val="16"/>
                <w:szCs w:val="14"/>
              </w:rPr>
            </w:pPr>
            <w:r>
              <w:rPr>
                <w:sz w:val="16"/>
                <w:szCs w:val="14"/>
              </w:rPr>
              <w:t>J</w:t>
            </w:r>
            <w:r w:rsidRPr="006F56D7">
              <w:rPr>
                <w:sz w:val="16"/>
                <w:szCs w:val="14"/>
              </w:rPr>
              <w:t>ournal homepage:</w:t>
            </w:r>
            <w:r w:rsidR="0093479F">
              <w:rPr>
                <w:sz w:val="16"/>
                <w:szCs w:val="14"/>
              </w:rPr>
              <w:br/>
            </w:r>
            <w:bookmarkStart w:id="0" w:name="_GoBack"/>
            <w:bookmarkEnd w:id="0"/>
            <w:r w:rsidR="0093479F" w:rsidRPr="0093479F">
              <w:rPr>
                <w:iCs/>
                <w:color w:val="0070C0"/>
                <w:sz w:val="16"/>
                <w:szCs w:val="14"/>
                <w:lang w:val="en-MY"/>
              </w:rPr>
              <w:t>https://semarakilmu.my/index.php/sijtl/index</w:t>
            </w:r>
          </w:p>
          <w:p w14:paraId="4B700B1C" w14:textId="2EC82AC7" w:rsidR="00D72741" w:rsidRPr="006F56D7" w:rsidRDefault="00D72741" w:rsidP="007F6D7A">
            <w:pPr>
              <w:jc w:val="center"/>
            </w:pPr>
            <w:r w:rsidRPr="00AF0F2F">
              <w:rPr>
                <w:sz w:val="16"/>
                <w:szCs w:val="14"/>
              </w:rPr>
              <w:t xml:space="preserve">ISSN: </w:t>
            </w:r>
            <w:r w:rsidR="00E45FE1" w:rsidRPr="00E45FE1">
              <w:rPr>
                <w:sz w:val="16"/>
                <w:szCs w:val="14"/>
              </w:rPr>
              <w:t>3083-8746</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w:t>
      </w:r>
      <w:proofErr w:type="spellStart"/>
      <w:r w:rsidR="003D133A" w:rsidRPr="00A827BB">
        <w:rPr>
          <w:rFonts w:cs="Times New Roman"/>
          <w:sz w:val="24"/>
          <w:szCs w:val="24"/>
          <w:lang w:val="en-US"/>
        </w:rPr>
        <w:t>nanofluids</w:t>
      </w:r>
      <w:proofErr w:type="spellEnd"/>
      <w:r w:rsidR="003D133A" w:rsidRPr="00A827BB">
        <w:rPr>
          <w:rFonts w:cs="Times New Roman"/>
          <w:sz w:val="24"/>
          <w:szCs w:val="24"/>
          <w:lang w:val="en-US"/>
        </w:rPr>
        <w:t xml:space="preserve">. </w:t>
      </w:r>
      <w:proofErr w:type="spellStart"/>
      <w:r w:rsidR="003D133A" w:rsidRPr="00A827BB">
        <w:rPr>
          <w:rFonts w:cs="Times New Roman"/>
          <w:sz w:val="24"/>
          <w:szCs w:val="24"/>
          <w:lang w:val="en-US"/>
        </w:rPr>
        <w:t>Nanofluid</w:t>
      </w:r>
      <w:proofErr w:type="spellEnd"/>
      <w:r w:rsidR="003D133A" w:rsidRPr="00A827BB">
        <w:rPr>
          <w:rFonts w:cs="Times New Roman"/>
          <w:sz w:val="24"/>
          <w:szCs w:val="24"/>
          <w:lang w:val="en-US"/>
        </w:rPr>
        <w:t xml:space="preserve"> is a fluid that contains nanometer-sized solid particles. The </w:t>
      </w:r>
      <w:proofErr w:type="spellStart"/>
      <w:r w:rsidR="003D133A" w:rsidRPr="00A827BB">
        <w:rPr>
          <w:rFonts w:cs="Times New Roman"/>
          <w:sz w:val="24"/>
          <w:szCs w:val="24"/>
          <w:lang w:val="en-US"/>
        </w:rPr>
        <w:t>nanofluid</w:t>
      </w:r>
      <w:proofErr w:type="spellEnd"/>
      <w:r w:rsidR="003D133A" w:rsidRPr="00A827BB">
        <w:rPr>
          <w:rFonts w:cs="Times New Roman"/>
          <w:sz w:val="24"/>
          <w:szCs w:val="24"/>
          <w:lang w:val="en-US"/>
        </w:rPr>
        <w:t xml:space="preserve">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 xml:space="preserve">[2] and it has been proven to give better heat transfer efficiency compared to conventional fluids.  Detailed reviews on the physical and thermal properties of </w:t>
      </w:r>
      <w:proofErr w:type="spellStart"/>
      <w:r w:rsidR="003D133A" w:rsidRPr="00A827BB">
        <w:rPr>
          <w:rFonts w:cs="Times New Roman"/>
          <w:sz w:val="24"/>
          <w:szCs w:val="24"/>
          <w:lang w:val="en-US"/>
        </w:rPr>
        <w:t>nanofluids</w:t>
      </w:r>
      <w:proofErr w:type="spellEnd"/>
      <w:r w:rsidR="003D133A" w:rsidRPr="00A827BB">
        <w:rPr>
          <w:rFonts w:cs="Times New Roman"/>
          <w:sz w:val="24"/>
          <w:szCs w:val="24"/>
          <w:lang w:val="en-US"/>
        </w:rPr>
        <w:t xml:space="preserve">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 xml:space="preserve">A </w:t>
      </w:r>
      <w:proofErr w:type="spellStart"/>
      <w:r w:rsidRPr="00A827BB">
        <w:rPr>
          <w:rFonts w:cs="Times New Roman"/>
          <w:sz w:val="24"/>
          <w:szCs w:val="24"/>
          <w:lang w:val="en-US"/>
        </w:rPr>
        <w:t>nanofluid</w:t>
      </w:r>
      <w:proofErr w:type="spellEnd"/>
      <w:r w:rsidRPr="00A827BB">
        <w:rPr>
          <w:rFonts w:cs="Times New Roman"/>
          <w:sz w:val="24"/>
          <w:szCs w:val="24"/>
          <w:lang w:val="en-US"/>
        </w:rPr>
        <w:t xml:space="preserve">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Navier</w:t>
      </w:r>
      <w:proofErr w:type="spellEnd"/>
      <w:r w:rsidRPr="0049671B">
        <w:rPr>
          <w:rFonts w:cs="Times New Roman"/>
          <w:sz w:val="24"/>
          <w:szCs w:val="24"/>
          <w:lang w:val="en-US"/>
        </w:rPr>
        <w:t xml:space="preserve">-Stokes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w:t>
      </w:r>
      <w:proofErr w:type="spellStart"/>
      <w:r w:rsidRPr="0049671B">
        <w:rPr>
          <w:rFonts w:cs="Times New Roman"/>
          <w:sz w:val="24"/>
          <w:szCs w:val="24"/>
          <w:lang w:val="en-US"/>
        </w:rPr>
        <w:t>chordwise</w:t>
      </w:r>
      <w:proofErr w:type="spellEnd"/>
      <w:r w:rsidRPr="0049671B">
        <w:rPr>
          <w:rFonts w:cs="Times New Roman"/>
          <w:sz w:val="24"/>
          <w:szCs w:val="24"/>
          <w:lang w:val="en-US"/>
        </w:rPr>
        <w:t xml:space="preserv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2411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8pt;mso-width-percent:0;mso-height-percent:0;mso-width-percent:0;mso-height-percent:0" o:ole="">
            <v:imagedata r:id="rId16" o:title=""/>
          </v:shape>
          <o:OLEObject Type="Embed" ProgID="Equation.3" ShapeID="_x0000_i1025" DrawAspect="Content" ObjectID="_180885686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 xml:space="preserve">This research was funded by a grant from Ministry of Higher Education of Malaysia (FRGS Grant </w:t>
      </w:r>
      <w:proofErr w:type="gramStart"/>
      <w:r w:rsidRPr="00F5211C">
        <w:rPr>
          <w:rFonts w:cstheme="minorHAnsi"/>
          <w:bCs/>
          <w:sz w:val="24"/>
          <w:szCs w:val="24"/>
        </w:rPr>
        <w:t>R.J</w:t>
      </w:r>
      <w:proofErr w:type="gramEnd"/>
      <w:r w:rsidRPr="00F5211C">
        <w:rPr>
          <w:rFonts w:cstheme="minorHAnsi"/>
          <w:bCs/>
          <w:sz w:val="24"/>
          <w:szCs w:val="24"/>
        </w:rPr>
        <w:t>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proofErr w:type="spellStart"/>
      <w:r w:rsidRPr="000F794A">
        <w:rPr>
          <w:color w:val="000000" w:themeColor="text1"/>
          <w:sz w:val="20"/>
          <w:szCs w:val="20"/>
          <w:shd w:val="clear" w:color="auto" w:fill="FFFFFF"/>
        </w:rPr>
        <w:t>Konrath</w:t>
      </w:r>
      <w:proofErr w:type="spellEnd"/>
      <w:r w:rsidRPr="000F794A">
        <w:rPr>
          <w:color w:val="000000" w:themeColor="text1"/>
          <w:sz w:val="20"/>
          <w:szCs w:val="20"/>
          <w:shd w:val="clear" w:color="auto" w:fill="FFFFFF"/>
        </w:rPr>
        <w:t xml:space="preserve">,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68F34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C83A51">
              <w:rPr>
                <w:noProof/>
                <w:color w:val="000000" w:themeColor="text1"/>
                <w:sz w:val="32"/>
                <w:szCs w:val="32"/>
              </w:rPr>
              <w:t>TL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B2D3D" w14:textId="77777777" w:rsidR="001722AC" w:rsidRDefault="001722AC" w:rsidP="00307DBE">
      <w:pPr>
        <w:spacing w:after="0" w:line="240" w:lineRule="auto"/>
      </w:pPr>
      <w:r>
        <w:separator/>
      </w:r>
    </w:p>
  </w:endnote>
  <w:endnote w:type="continuationSeparator" w:id="0">
    <w:p w14:paraId="73EE8689" w14:textId="77777777" w:rsidR="001722AC" w:rsidRDefault="001722A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6550828A" w:rsidR="007F6D7A" w:rsidRDefault="007F6D7A">
        <w:pPr>
          <w:pStyle w:val="Footer"/>
          <w:jc w:val="right"/>
        </w:pPr>
        <w:r>
          <w:fldChar w:fldCharType="begin"/>
        </w:r>
        <w:r>
          <w:instrText xml:space="preserve"> PAGE   \* MERGEFORMAT </w:instrText>
        </w:r>
        <w:r>
          <w:fldChar w:fldCharType="separate"/>
        </w:r>
        <w:r w:rsidR="0093479F">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2FF4F6D6" w:rsidR="007F6D7A" w:rsidRDefault="007F6D7A">
        <w:pPr>
          <w:pStyle w:val="Footer"/>
          <w:jc w:val="right"/>
        </w:pPr>
        <w:r>
          <w:fldChar w:fldCharType="begin"/>
        </w:r>
        <w:r>
          <w:instrText xml:space="preserve"> PAGE   \* MERGEFORMAT </w:instrText>
        </w:r>
        <w:r>
          <w:fldChar w:fldCharType="separate"/>
        </w:r>
        <w:r w:rsidR="0093479F">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0A989" w14:textId="77777777" w:rsidR="001722AC" w:rsidRDefault="001722AC" w:rsidP="00307DBE">
      <w:pPr>
        <w:spacing w:after="0" w:line="240" w:lineRule="auto"/>
      </w:pPr>
      <w:r>
        <w:separator/>
      </w:r>
    </w:p>
  </w:footnote>
  <w:footnote w:type="continuationSeparator" w:id="0">
    <w:p w14:paraId="4409AA2C" w14:textId="77777777" w:rsidR="001722AC" w:rsidRDefault="001722AC"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23689531" w:rsidR="00A4011D" w:rsidRPr="008C5A44" w:rsidRDefault="00A4011D" w:rsidP="00A4011D">
      <w:pPr>
        <w:pStyle w:val="FootnoteText"/>
        <w:rPr>
          <w:rFonts w:asciiTheme="minorHAnsi" w:hAnsiTheme="minorHAnsi" w:cstheme="minorHAnsi"/>
          <w:lang w:val="en-SG"/>
        </w:rPr>
      </w:pPr>
      <w:r>
        <w:rPr>
          <w:rFonts w:asciiTheme="minorHAnsi" w:hAnsiTheme="minorHAnsi" w:cstheme="minorHAnsi"/>
          <w:highlight w:val="yellow"/>
          <w:lang w:val="en-SG"/>
        </w:rPr>
        <w:t>https://doi.org/10.37934/sijtl.1</w:t>
      </w:r>
      <w:r w:rsidRPr="00D85496">
        <w:rPr>
          <w:rFonts w:asciiTheme="minorHAnsi" w:hAnsiTheme="minorHAnsi" w:cstheme="minorHAnsi"/>
          <w:highlight w:val="yellow"/>
          <w:lang w:val="en-SG"/>
        </w:rPr>
        <w:t>.</w:t>
      </w:r>
      <w:r>
        <w:rPr>
          <w:rFonts w:asciiTheme="minorHAnsi" w:hAnsiTheme="minorHAnsi" w:cstheme="minorHAnsi"/>
          <w:highlight w:val="yellow"/>
          <w:lang w:val="en-SG"/>
        </w:rPr>
        <w:t>1</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4A7E" w14:textId="596D313F"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EC4F36">
      <w:rPr>
        <w:rFonts w:ascii="Times New Roman" w:eastAsia="Calibri" w:hAnsi="Times New Roman" w:cs="Arial"/>
        <w:i/>
        <w:iCs/>
        <w:sz w:val="16"/>
        <w:szCs w:val="14"/>
        <w:lang w:val="en-GB"/>
      </w:rPr>
      <w:t>Transportation and Logistics</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2B3E7A7F" w:rsidR="007F6D7A" w:rsidRPr="003F5EA9" w:rsidRDefault="00534564"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EC4F36">
      <w:rPr>
        <w:rFonts w:ascii="Times New Roman" w:eastAsia="Calibri" w:hAnsi="Times New Roman" w:cs="Arial"/>
        <w:i/>
        <w:iCs/>
        <w:sz w:val="16"/>
        <w:szCs w:val="14"/>
        <w:lang w:val="en-GB"/>
      </w:rPr>
      <w:t>Transportation and Logistics</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2AC"/>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0FC1"/>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479F"/>
    <w:rsid w:val="00935E36"/>
    <w:rsid w:val="00937A69"/>
    <w:rsid w:val="00945BCB"/>
    <w:rsid w:val="00951318"/>
    <w:rsid w:val="00951549"/>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61B2"/>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DE0D2-19C0-4099-9FAE-85338E3E2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1849</Words>
  <Characters>10544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3</cp:revision>
  <cp:lastPrinted>2016-12-23T01:28:00Z</cp:lastPrinted>
  <dcterms:created xsi:type="dcterms:W3CDTF">2025-03-24T07:21:00Z</dcterms:created>
  <dcterms:modified xsi:type="dcterms:W3CDTF">2025-05-15T15:28:00Z</dcterms:modified>
</cp:coreProperties>
</file>